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目  录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  部门基本情况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  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sz w:val="32"/>
          <w:szCs w:val="32"/>
        </w:rPr>
        <w:t>年部门预算公开表(见附表</w:t>
      </w:r>
      <w:r>
        <w:rPr>
          <w:rFonts w:ascii="黑体" w:hAnsi="黑体" w:eastAsia="黑体"/>
          <w:sz w:val="32"/>
          <w:szCs w:val="32"/>
        </w:rPr>
        <w:t>)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一、部门收支总体情况表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二、部门收入总体情况表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三、部门支出总体情况表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四、财政拨款收支总体情况表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五、一般公共预算支出情况表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六、一般公共预算基本支出情况表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七、一般公共预算“三公”经费支出情况表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八、政府性基金预算支出情况表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九、国有资本经营预算支出情况表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十、政府采购预算表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  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sz w:val="32"/>
          <w:szCs w:val="32"/>
        </w:rPr>
        <w:t>年部门预算公开情况说明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一、收入预算说明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二、支出预算说明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三、预算收支增减变化情况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四、机关运行经费安排情况说明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五、政府采购情况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六、预算绩效目标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</w:t>
      </w:r>
      <w:r>
        <w:rPr>
          <w:rFonts w:ascii="仿宋_GB2312" w:eastAsia="仿宋_GB2312"/>
          <w:sz w:val="32"/>
          <w:szCs w:val="32"/>
        </w:rPr>
        <w:t>国有资产占用情况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八、空表情况说明</w:t>
      </w:r>
    </w:p>
    <w:p>
      <w:pPr>
        <w:spacing w:line="580" w:lineRule="exact"/>
        <w:ind w:firstLine="640" w:firstLineChars="200"/>
      </w:pPr>
      <w:r>
        <w:rPr>
          <w:rFonts w:hint="eastAsia" w:ascii="黑体" w:hAnsi="黑体" w:eastAsia="黑体"/>
          <w:sz w:val="32"/>
          <w:szCs w:val="32"/>
        </w:rPr>
        <w:t>第四部分  名词解释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altName w:val="微软雅黑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MV Boli"/>
    <w:panose1 w:val="020F0302020204030204"/>
    <w:charset w:val="00"/>
    <w:family w:val="auto"/>
    <w:pitch w:val="default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44</Words>
  <Characters>257</Characters>
  <Lines>2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2019-01-18T08:01:00Z</dcterms:created>
  <dc:creator>杨晗_郑财预编号</dc:creator>
  <cp:lastModifiedBy>null,null,总收发</cp:lastModifiedBy>
  <dcterms:modified xsi:type="dcterms:W3CDTF">2019-03-19T00:55:48Z</dcterms:modified>
  <dc:title>目  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